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138" w:rsidRDefault="00811138" w:rsidP="00F62C65">
      <w:pPr>
        <w:jc w:val="both"/>
      </w:pPr>
    </w:p>
    <w:p w:rsidR="00811138" w:rsidRDefault="00811138" w:rsidP="00F62C65">
      <w:pPr>
        <w:jc w:val="both"/>
      </w:pPr>
      <w:r>
        <w:t>INDICE</w:t>
      </w:r>
    </w:p>
    <w:p w:rsidR="00811138" w:rsidRDefault="00811138" w:rsidP="00F62C65">
      <w:pPr>
        <w:jc w:val="both"/>
      </w:pPr>
    </w:p>
    <w:p w:rsidR="00811138" w:rsidRDefault="00811138" w:rsidP="00F62C65">
      <w:pPr>
        <w:jc w:val="both"/>
      </w:pPr>
      <w:r>
        <w:t>Artículo 1°: Objeto</w:t>
      </w:r>
    </w:p>
    <w:p w:rsidR="00811138" w:rsidRDefault="00811138" w:rsidP="00F62C65">
      <w:pPr>
        <w:jc w:val="both"/>
      </w:pPr>
      <w:r>
        <w:t>Artículo 2°: Requisitos</w:t>
      </w:r>
    </w:p>
    <w:p w:rsidR="00811138" w:rsidRDefault="00811138" w:rsidP="00F62C65">
      <w:pPr>
        <w:jc w:val="both"/>
      </w:pPr>
      <w:r>
        <w:t>Artículo 3°: Procedimiento</w:t>
      </w:r>
    </w:p>
    <w:p w:rsidR="00811138" w:rsidRDefault="00811138" w:rsidP="00F62C65">
      <w:pPr>
        <w:jc w:val="both"/>
      </w:pPr>
      <w:r>
        <w:t>Artículo 4°: Lugar de entrega de pliegos</w:t>
      </w:r>
    </w:p>
    <w:p w:rsidR="00811138" w:rsidRDefault="00811138" w:rsidP="00F62C65">
      <w:pPr>
        <w:jc w:val="both"/>
      </w:pPr>
      <w:r>
        <w:t xml:space="preserve">Artículo 5°: Acto de recepción y apertura de sobres </w:t>
      </w:r>
    </w:p>
    <w:p w:rsidR="00811138" w:rsidRDefault="00811138" w:rsidP="00F62C65">
      <w:pPr>
        <w:jc w:val="both"/>
      </w:pPr>
      <w:r>
        <w:t>Artículo 6°: Lugar de apertura de sobres</w:t>
      </w:r>
    </w:p>
    <w:p w:rsidR="00811138" w:rsidRDefault="00811138" w:rsidP="00F62C65">
      <w:pPr>
        <w:jc w:val="both"/>
      </w:pPr>
      <w:r>
        <w:t xml:space="preserve">Artículo 7°: Aclaraciones de oficio y evaluación de consultas </w:t>
      </w:r>
    </w:p>
    <w:p w:rsidR="00811138" w:rsidRDefault="00811138" w:rsidP="00F62C65">
      <w:pPr>
        <w:jc w:val="both"/>
      </w:pPr>
      <w:r>
        <w:t>Artículo 8°: Causal de rechazo</w:t>
      </w:r>
    </w:p>
    <w:p w:rsidR="00811138" w:rsidRDefault="00811138" w:rsidP="00F62C65">
      <w:pPr>
        <w:jc w:val="both"/>
      </w:pPr>
      <w:r>
        <w:t xml:space="preserve">Artículo 9°: Plazo de presentación de la documentación </w:t>
      </w:r>
    </w:p>
    <w:p w:rsidR="00811138" w:rsidRDefault="00811138" w:rsidP="00F62C65">
      <w:pPr>
        <w:jc w:val="both"/>
      </w:pPr>
      <w:r>
        <w:t xml:space="preserve">Artículo 10°: Requisitos adjudicatario del préstamo </w:t>
      </w:r>
    </w:p>
    <w:p w:rsidR="00811138" w:rsidRDefault="00811138" w:rsidP="00F62C65">
      <w:pPr>
        <w:jc w:val="both"/>
      </w:pPr>
      <w:r>
        <w:t>Artículo 11°: Contrato de financiamiento</w:t>
      </w:r>
    </w:p>
    <w:p w:rsidR="00811138" w:rsidRDefault="00811138" w:rsidP="00F62C65">
      <w:pPr>
        <w:jc w:val="both"/>
      </w:pPr>
      <w:r>
        <w:t>Artículo 12°: Casos de no otorgamiento del préstamo</w:t>
      </w:r>
    </w:p>
    <w:p w:rsidR="00811138" w:rsidRPr="00370C0B" w:rsidRDefault="00811138" w:rsidP="00370C0B">
      <w:pPr>
        <w:jc w:val="both"/>
      </w:pPr>
      <w:r w:rsidRPr="00370C0B">
        <w:t xml:space="preserve">Artículo 13°: Incumplimiento técnico </w:t>
      </w:r>
    </w:p>
    <w:p w:rsidR="00811138" w:rsidRDefault="00811138" w:rsidP="00F62C65">
      <w:pPr>
        <w:jc w:val="both"/>
      </w:pPr>
    </w:p>
    <w:p w:rsidR="00811138" w:rsidRDefault="00811138" w:rsidP="00F62C65">
      <w:pPr>
        <w:jc w:val="both"/>
      </w:pPr>
    </w:p>
    <w:p w:rsidR="00811138" w:rsidRDefault="00811138" w:rsidP="00F62C65">
      <w:pPr>
        <w:jc w:val="both"/>
      </w:pPr>
    </w:p>
    <w:p w:rsidR="00811138" w:rsidRDefault="00811138" w:rsidP="00F62C65">
      <w:pPr>
        <w:jc w:val="both"/>
      </w:pPr>
    </w:p>
    <w:p w:rsidR="00811138" w:rsidRDefault="00811138" w:rsidP="00F62C65">
      <w:pPr>
        <w:jc w:val="both"/>
      </w:pPr>
    </w:p>
    <w:p w:rsidR="00811138" w:rsidRDefault="00811138" w:rsidP="00F62C65">
      <w:pPr>
        <w:jc w:val="both"/>
      </w:pPr>
    </w:p>
    <w:p w:rsidR="00811138" w:rsidRDefault="00811138" w:rsidP="00F62C65">
      <w:pPr>
        <w:jc w:val="both"/>
      </w:pPr>
    </w:p>
    <w:p w:rsidR="00811138" w:rsidRDefault="00811138" w:rsidP="00F62C65">
      <w:pPr>
        <w:jc w:val="both"/>
      </w:pPr>
    </w:p>
    <w:p w:rsidR="00811138" w:rsidRDefault="00811138" w:rsidP="00F62C65">
      <w:pPr>
        <w:jc w:val="both"/>
      </w:pPr>
    </w:p>
    <w:p w:rsidR="00811138" w:rsidRDefault="00811138" w:rsidP="00F62C65">
      <w:pPr>
        <w:jc w:val="both"/>
      </w:pPr>
      <w:r>
        <w:t xml:space="preserve"> </w:t>
      </w:r>
    </w:p>
    <w:p w:rsidR="00811138" w:rsidRDefault="00811138" w:rsidP="00F62C65">
      <w:pPr>
        <w:jc w:val="both"/>
      </w:pPr>
    </w:p>
    <w:p w:rsidR="00811138" w:rsidRDefault="00811138" w:rsidP="00F62C65">
      <w:pPr>
        <w:jc w:val="both"/>
      </w:pPr>
    </w:p>
    <w:p w:rsidR="00811138" w:rsidRDefault="00811138" w:rsidP="00F62C65">
      <w:pPr>
        <w:jc w:val="both"/>
      </w:pPr>
    </w:p>
    <w:p w:rsidR="00811138" w:rsidRPr="00C536F8" w:rsidRDefault="00811138" w:rsidP="00F62C65">
      <w:pPr>
        <w:jc w:val="both"/>
        <w:rPr>
          <w:b/>
        </w:rPr>
      </w:pPr>
      <w:r w:rsidRPr="00C536F8">
        <w:rPr>
          <w:b/>
        </w:rPr>
        <w:t>PLIEGO DE BASES Y CONDICIONES PARTICULARES</w:t>
      </w:r>
    </w:p>
    <w:p w:rsidR="00811138" w:rsidRPr="00C536F8" w:rsidRDefault="00811138" w:rsidP="00F62C65">
      <w:pPr>
        <w:jc w:val="both"/>
        <w:rPr>
          <w:b/>
        </w:rPr>
      </w:pPr>
      <w:r w:rsidRPr="00C536F8">
        <w:rPr>
          <w:b/>
        </w:rPr>
        <w:t>Artículo 1°: Objeto</w:t>
      </w:r>
    </w:p>
    <w:p w:rsidR="00811138" w:rsidRDefault="00811138" w:rsidP="00F62C65">
      <w:pPr>
        <w:jc w:val="both"/>
      </w:pPr>
      <w:r>
        <w:t>Adelantar el otorgamiento de préstamos a los ahorristas inscriptos en el Programa de Construyo Mi Casa.</w:t>
      </w:r>
    </w:p>
    <w:p w:rsidR="00811138" w:rsidRPr="00C536F8" w:rsidRDefault="00811138" w:rsidP="00F62C65">
      <w:pPr>
        <w:jc w:val="both"/>
        <w:rPr>
          <w:b/>
        </w:rPr>
      </w:pPr>
      <w:r w:rsidRPr="00C536F8">
        <w:rPr>
          <w:b/>
        </w:rPr>
        <w:t>Artículo 2°: Requisitos</w:t>
      </w:r>
    </w:p>
    <w:p w:rsidR="00811138" w:rsidRDefault="00811138" w:rsidP="00F62C65">
      <w:pPr>
        <w:jc w:val="both"/>
      </w:pPr>
      <w:r>
        <w:t>Podrán acceder al préstamo por licitación durante el período de ahorro previo todos los ahorristas participantes en el Programa, que cumplan con los requisitos establecidos en la Resolución Nº 840/21 y su modificatoria Res. 123/22 del Honorable Directorio del IPV.</w:t>
      </w:r>
    </w:p>
    <w:p w:rsidR="00811138" w:rsidRDefault="00811138" w:rsidP="00F62C65">
      <w:pPr>
        <w:jc w:val="both"/>
      </w:pPr>
      <w:r>
        <w:t>Para participar en el acto de preadjudicación, los ahorristas no podrán adeudar cuotas de ahorro vencidas y ser propietario del terreno que debe estar en condiciones de hipoteca.</w:t>
      </w:r>
    </w:p>
    <w:p w:rsidR="00811138" w:rsidRDefault="00811138" w:rsidP="00F62C65">
      <w:pPr>
        <w:jc w:val="both"/>
      </w:pPr>
      <w:r>
        <w:t xml:space="preserve">Se implementará un proceso de licitación en el que se </w:t>
      </w:r>
      <w:r w:rsidRPr="00A06A06">
        <w:rPr>
          <w:b/>
        </w:rPr>
        <w:t xml:space="preserve">preadjudicarán </w:t>
      </w:r>
      <w:r>
        <w:rPr>
          <w:b/>
        </w:rPr>
        <w:t>DIEZ</w:t>
      </w:r>
      <w:r w:rsidRPr="00A06A06">
        <w:rPr>
          <w:b/>
        </w:rPr>
        <w:t xml:space="preserve"> (</w:t>
      </w:r>
      <w:r>
        <w:rPr>
          <w:b/>
        </w:rPr>
        <w:t>10</w:t>
      </w:r>
      <w:r w:rsidRPr="00A06A06">
        <w:rPr>
          <w:b/>
        </w:rPr>
        <w:t>) créditos</w:t>
      </w:r>
      <w:r>
        <w:t xml:space="preserve"> que posteriormente se adjudicarán, de acuerdo al procedimiento establecido en la Resolución vigente, distribuidos entre las alternativas de ahorro I, II, III, IV, V, VI, de construcción nueva y VII, VIII, IX, X terminación de vivienda. (avance de obra 55% Y 65%).</w:t>
      </w:r>
    </w:p>
    <w:p w:rsidR="00811138" w:rsidRDefault="00811138" w:rsidP="00F62C65">
      <w:pPr>
        <w:jc w:val="both"/>
      </w:pPr>
      <w:r>
        <w:t>La oferta de licitación se hará por medio de carta en sobre cerrado, identificado como Licitación "Construyo mi Casa" en el formulario de oferta que forma parte del presente pliego licitatorio, y que suministrará el IPV. En el mismo, el ahorrista indicará sus datos personales, los datos del contrato, la fecha del acto de adjudicación para el cual licita, la cantidad de cuotas pagadas hasta la fecha indicada, de cuotas ofertadas (a pagar) y el monto suma de cuotas totales entre los dos anteriores.</w:t>
      </w:r>
    </w:p>
    <w:p w:rsidR="00811138" w:rsidRPr="00C536F8" w:rsidRDefault="00811138" w:rsidP="00F62C65">
      <w:pPr>
        <w:jc w:val="both"/>
        <w:rPr>
          <w:b/>
        </w:rPr>
      </w:pPr>
      <w:r w:rsidRPr="00C536F8">
        <w:rPr>
          <w:b/>
        </w:rPr>
        <w:t>Artículo 3°: Procedimiento</w:t>
      </w:r>
    </w:p>
    <w:p w:rsidR="00811138" w:rsidRDefault="00811138" w:rsidP="00F62C65">
      <w:pPr>
        <w:jc w:val="both"/>
      </w:pPr>
      <w:r>
        <w:t>El acto de preadjudicación se realizará ante escribano público, quien labrará el acta correspondiente.</w:t>
      </w:r>
    </w:p>
    <w:p w:rsidR="00811138" w:rsidRDefault="00811138" w:rsidP="00F62C65">
      <w:pPr>
        <w:jc w:val="both"/>
      </w:pPr>
      <w:r>
        <w:t>a) El formulario de oferta deberá estar completado en todos sus puntos y contar con la firma del oferente.</w:t>
      </w:r>
    </w:p>
    <w:p w:rsidR="00811138" w:rsidRPr="00E25D2F" w:rsidRDefault="00811138" w:rsidP="00F62C65">
      <w:pPr>
        <w:jc w:val="both"/>
      </w:pPr>
      <w:r w:rsidRPr="00E25D2F">
        <w:t xml:space="preserve">b) Las ofertas serán recibidas en la sede del IPV, Lavalle 92, Mendoza (5500), Coordinación del Programa Construyo mi Casa, por cualquier medio,  hasta la fecha del acto de apertura de sobres de licitación, pudiendo también efectuar la/el ahorrista personalmente el mismo día de dicho acto el día </w:t>
      </w:r>
      <w:r w:rsidRPr="00170A47">
        <w:rPr>
          <w:b/>
        </w:rPr>
        <w:t>2</w:t>
      </w:r>
      <w:r>
        <w:rPr>
          <w:b/>
        </w:rPr>
        <w:t>9</w:t>
      </w:r>
      <w:r w:rsidRPr="006232DF">
        <w:rPr>
          <w:b/>
        </w:rPr>
        <w:t xml:space="preserve"> </w:t>
      </w:r>
      <w:r w:rsidRPr="00874302">
        <w:rPr>
          <w:b/>
        </w:rPr>
        <w:t>d</w:t>
      </w:r>
      <w:r w:rsidRPr="00E25D2F">
        <w:rPr>
          <w:b/>
        </w:rPr>
        <w:t xml:space="preserve">e </w:t>
      </w:r>
      <w:r>
        <w:rPr>
          <w:b/>
        </w:rPr>
        <w:t>octubre de 2026</w:t>
      </w:r>
      <w:r w:rsidRPr="00E25D2F">
        <w:rPr>
          <w:b/>
        </w:rPr>
        <w:t xml:space="preserve"> hasta diez</w:t>
      </w:r>
      <w:r w:rsidRPr="00E25D2F">
        <w:t xml:space="preserve"> </w:t>
      </w:r>
      <w:r w:rsidRPr="00E25D2F">
        <w:rPr>
          <w:b/>
        </w:rPr>
        <w:t>(10)</w:t>
      </w:r>
      <w:r>
        <w:rPr>
          <w:b/>
        </w:rPr>
        <w:t xml:space="preserve"> </w:t>
      </w:r>
      <w:bookmarkStart w:id="0" w:name="_GoBack"/>
      <w:bookmarkEnd w:id="0"/>
      <w:r w:rsidRPr="00E25D2F">
        <w:rPr>
          <w:b/>
        </w:rPr>
        <w:t>minutos antes de las 9:00 hs.</w:t>
      </w:r>
      <w:r w:rsidRPr="00E25D2F">
        <w:t xml:space="preserve"> horario fijado para la apertura de sobres de licitación, momento que será anunciado por el escribano interviniente, después del cuál no se aceptará oferta alguna.</w:t>
      </w:r>
    </w:p>
    <w:p w:rsidR="00811138" w:rsidRDefault="00811138" w:rsidP="00F62C65">
      <w:pPr>
        <w:jc w:val="both"/>
      </w:pPr>
      <w:r>
        <w:t>c) Se considerarán como oferta de licitación tanto las cuotas de ahorro y a pagadas hasta la fecha indicada en formulario, como las que se ofrezcan pagar. Siendo el número mínimo de cuotas a ofertar treinta y seis (36) y máximo de cuarenta y ocho (48) para las Alternativas I, II y III, IV, V, VI Para la Alternativa VII, VIII, IX, X el número de cuotas mínimo constitutivas de la oferta deberá ser de 18 y un máximo de veinticuatro (24) cuotas.</w:t>
      </w:r>
    </w:p>
    <w:p w:rsidR="00811138" w:rsidRDefault="00811138" w:rsidP="00F62C65">
      <w:pPr>
        <w:jc w:val="both"/>
      </w:pPr>
      <w:r>
        <w:t>d) Abiertos los sobres, se confeccionará un listado ordenado de mayor a menor a partir de la mejor oferta de licitación, con el nombre de los postulantes y las ofertas recibidas considerando el total de cuotas pagadas y ofrecidas.</w:t>
      </w:r>
    </w:p>
    <w:p w:rsidR="00811138" w:rsidRDefault="00811138" w:rsidP="00F62C65">
      <w:pPr>
        <w:jc w:val="both"/>
      </w:pPr>
      <w:r>
        <w:t>e) Se considerará ganador el ahorrista que haya realizado la mejor oferta, sumando cuotas pagadas y las ofrecidas.</w:t>
      </w:r>
    </w:p>
    <w:p w:rsidR="00811138" w:rsidRDefault="00811138" w:rsidP="00F62C65">
      <w:pPr>
        <w:jc w:val="both"/>
      </w:pPr>
      <w:r>
        <w:t>f) A igualdad de oferta, se dará prioridad en primer término a las ofertas de licitación de los ahorristas que cuenten con mayor antigüedad en el programa contando como fecha de inicio la del Contrato de Ahorro y en segundo término a los que cuenten con mayor número de cuotas canceladas con anterioridad.</w:t>
      </w:r>
    </w:p>
    <w:p w:rsidR="00811138" w:rsidRDefault="00811138" w:rsidP="00F62C65">
      <w:pPr>
        <w:jc w:val="both"/>
      </w:pPr>
      <w:r>
        <w:t>g) Si nuevamente hubiera coincidencia la preadjudicación se hará por sorteo.</w:t>
      </w:r>
    </w:p>
    <w:p w:rsidR="00811138" w:rsidRDefault="00811138" w:rsidP="00F62C65">
      <w:pPr>
        <w:jc w:val="both"/>
      </w:pPr>
      <w:r>
        <w:t>h) Licitar implica automáticamente para el ahorrista la aceptación de la preadjudicación que eventualmente le pudiera corresponder.</w:t>
      </w:r>
    </w:p>
    <w:p w:rsidR="00811138" w:rsidRDefault="00811138" w:rsidP="00F62C65">
      <w:pPr>
        <w:jc w:val="both"/>
      </w:pPr>
      <w:r>
        <w:t>i) Notificado de la preadjudicación por licitación, el ahorrista tendrá un plazo de hasta cinco (05) días corridos a partir de la fecha de licitación para abonarlas cuotas ofrecidas. El valor a pagar por las mismas será el de la cuota pura de ahorro vigente al día de la licitación, al igual que el monto de crédito a adjudicar.</w:t>
      </w:r>
    </w:p>
    <w:p w:rsidR="00811138" w:rsidRDefault="00811138" w:rsidP="00F62C65">
      <w:pPr>
        <w:jc w:val="both"/>
      </w:pPr>
      <w:r>
        <w:t>j) En caso de que el ganador en la licitación no integre las nuevas cuotas en el plazo correspondiente, perderá el derecho a la preadjudicación.</w:t>
      </w:r>
    </w:p>
    <w:p w:rsidR="00811138" w:rsidRDefault="00811138" w:rsidP="00F62C65">
      <w:pPr>
        <w:jc w:val="both"/>
      </w:pPr>
      <w:r>
        <w:t>k) En el caso de perder el derecho a la preadjudicación, la mismas se otorgará al licitante que le suceda en el orden de secuencia de las ofertas de licitación, y así sucesivamente.</w:t>
      </w:r>
    </w:p>
    <w:p w:rsidR="00811138" w:rsidRPr="00C536F8" w:rsidRDefault="00811138" w:rsidP="00F62C65">
      <w:pPr>
        <w:jc w:val="both"/>
        <w:rPr>
          <w:b/>
        </w:rPr>
      </w:pPr>
      <w:r w:rsidRPr="00C536F8">
        <w:rPr>
          <w:b/>
        </w:rPr>
        <w:t>Artículo 4°: Lugar de entrega de Pliegos</w:t>
      </w:r>
    </w:p>
    <w:p w:rsidR="00811138" w:rsidRDefault="00811138" w:rsidP="00F62C65">
      <w:pPr>
        <w:jc w:val="both"/>
      </w:pPr>
      <w:r>
        <w:t>Los Pliegos estarán a disposición en la página Web del IPV, 10 días antes de la fecha de la licitación.</w:t>
      </w:r>
    </w:p>
    <w:p w:rsidR="00811138" w:rsidRPr="00C536F8" w:rsidRDefault="00811138" w:rsidP="00F62C65">
      <w:pPr>
        <w:jc w:val="both"/>
        <w:rPr>
          <w:b/>
        </w:rPr>
      </w:pPr>
      <w:r w:rsidRPr="00C536F8">
        <w:rPr>
          <w:b/>
        </w:rPr>
        <w:t>Artículo 5°: Acto de recepción y apertura de las Ofertas</w:t>
      </w:r>
    </w:p>
    <w:p w:rsidR="00811138" w:rsidRPr="00C536F8" w:rsidRDefault="00811138" w:rsidP="00C536F8">
      <w:pPr>
        <w:jc w:val="center"/>
        <w:rPr>
          <w:b/>
        </w:rPr>
      </w:pPr>
      <w:r w:rsidRPr="00C536F8">
        <w:rPr>
          <w:b/>
        </w:rPr>
        <w:t>Apertura de Sobres Día:</w:t>
      </w:r>
    </w:p>
    <w:p w:rsidR="00811138" w:rsidRDefault="00811138" w:rsidP="00707C7D">
      <w:pPr>
        <w:jc w:val="center"/>
        <w:rPr>
          <w:b/>
        </w:rPr>
      </w:pPr>
      <w:r>
        <w:rPr>
          <w:b/>
        </w:rPr>
        <w:t>29</w:t>
      </w:r>
      <w:r w:rsidRPr="00C536F8">
        <w:rPr>
          <w:b/>
        </w:rPr>
        <w:t xml:space="preserve"> DE </w:t>
      </w:r>
      <w:r>
        <w:rPr>
          <w:b/>
        </w:rPr>
        <w:t xml:space="preserve">OCTUBRE DE </w:t>
      </w:r>
      <w:smartTag w:uri="urn:schemas-microsoft-com:office:smarttags" w:element="metricconverter">
        <w:smartTagPr>
          <w:attr w:name="ProductID" w:val="2026 a"/>
        </w:smartTagPr>
        <w:r>
          <w:rPr>
            <w:b/>
          </w:rPr>
          <w:t>2026 a</w:t>
        </w:r>
      </w:smartTag>
      <w:r>
        <w:rPr>
          <w:b/>
        </w:rPr>
        <w:t xml:space="preserve"> las 9:00 Hs.</w:t>
      </w:r>
    </w:p>
    <w:p w:rsidR="00811138" w:rsidRPr="00F8568B" w:rsidRDefault="00811138" w:rsidP="00F62C65">
      <w:pPr>
        <w:jc w:val="both"/>
        <w:rPr>
          <w:b/>
        </w:rPr>
      </w:pPr>
      <w:r w:rsidRPr="00F8568B">
        <w:rPr>
          <w:b/>
        </w:rPr>
        <w:t>Artículo 6°: Lugar de apertura de los sobres</w:t>
      </w:r>
    </w:p>
    <w:p w:rsidR="00811138" w:rsidRDefault="00811138" w:rsidP="00F62C65">
      <w:pPr>
        <w:jc w:val="both"/>
      </w:pPr>
      <w:r>
        <w:t>La apertura de sobres de oferta se realizará en sede del Instituto Provincial de la Vivienda, sito en calle Lavalle 92, de la Ciudad de Mendoza, en la fecha y hora fijada en el Artículo 5º de este pliego.</w:t>
      </w:r>
    </w:p>
    <w:p w:rsidR="00811138" w:rsidRDefault="00811138" w:rsidP="00F62C65">
      <w:pPr>
        <w:jc w:val="both"/>
      </w:pPr>
    </w:p>
    <w:p w:rsidR="00811138" w:rsidRDefault="00811138" w:rsidP="00F62C65">
      <w:pPr>
        <w:jc w:val="both"/>
      </w:pPr>
    </w:p>
    <w:p w:rsidR="00811138" w:rsidRPr="00F8568B" w:rsidRDefault="00811138" w:rsidP="00F62C65">
      <w:pPr>
        <w:jc w:val="both"/>
        <w:rPr>
          <w:b/>
        </w:rPr>
      </w:pPr>
      <w:r w:rsidRPr="00F8568B">
        <w:rPr>
          <w:b/>
        </w:rPr>
        <w:t>Artículo 7°: Aclaraciones de oficio y evaluación de consultas</w:t>
      </w:r>
    </w:p>
    <w:p w:rsidR="00811138" w:rsidRDefault="00811138" w:rsidP="00F62C65">
      <w:pPr>
        <w:jc w:val="both"/>
      </w:pPr>
      <w:r>
        <w:t>Cualquier consulta, error ó duda que advirtiese el proponente en los Pliegos deberá comunicarlo por escrito al Instituto Provincial de la Vivienda con una anticipación de hasta 6(seis) días hábiles anteriores a la fecha fijada para la apertura de los sobres de la Licitación.</w:t>
      </w:r>
    </w:p>
    <w:p w:rsidR="00811138" w:rsidRDefault="00811138" w:rsidP="00F62C65">
      <w:pPr>
        <w:jc w:val="both"/>
      </w:pPr>
      <w:r>
        <w:t>Las aclaraciones y consultas serán notificadas por el Instituto Provincial de la Vivienda a todos los ahorristas que hayan retirado el Pliego al domicilio declarado al momento de la entrega del mismo hasta 4(cuatro) días antes de la apertura de los sobres.</w:t>
      </w:r>
    </w:p>
    <w:p w:rsidR="00811138" w:rsidRPr="00F8568B" w:rsidRDefault="00811138" w:rsidP="00F62C65">
      <w:pPr>
        <w:jc w:val="both"/>
        <w:rPr>
          <w:b/>
        </w:rPr>
      </w:pPr>
      <w:r w:rsidRPr="00F8568B">
        <w:rPr>
          <w:b/>
        </w:rPr>
        <w:t>Artículo 8°: Causales derechazo</w:t>
      </w:r>
    </w:p>
    <w:p w:rsidR="00811138" w:rsidRDefault="00811138" w:rsidP="00F62C65">
      <w:pPr>
        <w:jc w:val="both"/>
      </w:pPr>
      <w:r>
        <w:t>En el momento de apertura de los sobres se considerarán como causales de rechazo las siguientes situaciones:</w:t>
      </w:r>
    </w:p>
    <w:p w:rsidR="00811138" w:rsidRDefault="00811138" w:rsidP="00F62C65">
      <w:pPr>
        <w:jc w:val="both"/>
      </w:pPr>
      <w:r>
        <w:t>1)</w:t>
      </w:r>
      <w:r>
        <w:tab/>
        <w:t>Que el formulario de oferta no esté debidamente cumplimentado.</w:t>
      </w:r>
    </w:p>
    <w:p w:rsidR="00811138" w:rsidRDefault="00811138" w:rsidP="00F62C65">
      <w:pPr>
        <w:jc w:val="both"/>
      </w:pPr>
      <w:r>
        <w:t>2)</w:t>
      </w:r>
      <w:r>
        <w:tab/>
        <w:t>Que las enmiendas y/o raspaduras en el formulario no estén debidamente salvadas.</w:t>
      </w:r>
    </w:p>
    <w:p w:rsidR="00811138" w:rsidRDefault="00811138" w:rsidP="00F62C65">
      <w:pPr>
        <w:jc w:val="both"/>
      </w:pPr>
      <w:r>
        <w:t>3)</w:t>
      </w:r>
      <w:r>
        <w:tab/>
        <w:t>Que el formulario de oferta no esté firmado por el oferente; que de encontrarse presente en el momento del acto, podrá salvarla omisión.</w:t>
      </w:r>
    </w:p>
    <w:p w:rsidR="00811138" w:rsidRDefault="00811138" w:rsidP="00F62C65">
      <w:pPr>
        <w:jc w:val="both"/>
      </w:pPr>
      <w:r w:rsidRPr="00F8568B">
        <w:rPr>
          <w:b/>
        </w:rPr>
        <w:t>Artículo 9°: Requisitos para la Preadjudicación del préstamo</w:t>
      </w:r>
      <w:r>
        <w:t xml:space="preserve"> (HASTA EL DIA Y HORA DE LA LICITACION).</w:t>
      </w:r>
    </w:p>
    <w:p w:rsidR="00811138" w:rsidRDefault="00811138" w:rsidP="00F62C65">
      <w:pPr>
        <w:jc w:val="both"/>
      </w:pPr>
      <w:r>
        <w:t>Para ser adjudicatario del préstamo del presente Programase deberán cumplirlos siguientes requisitos, además de los detallados en la Resolución marco del Honorable Directorio del IPV.</w:t>
      </w:r>
    </w:p>
    <w:p w:rsidR="00811138" w:rsidRDefault="00811138" w:rsidP="00F62C65">
      <w:pPr>
        <w:jc w:val="both"/>
      </w:pPr>
      <w:r>
        <w:t>Para participar en los actos de preadjudicación se los ahorristas deberán:</w:t>
      </w:r>
    </w:p>
    <w:p w:rsidR="00811138" w:rsidRDefault="00811138" w:rsidP="00F62C65">
      <w:pPr>
        <w:jc w:val="both"/>
      </w:pPr>
      <w:r>
        <w:t>a)</w:t>
      </w:r>
      <w:r>
        <w:tab/>
        <w:t>Estar al día con las cuotas del mes en que se realiza la licitación;</w:t>
      </w:r>
    </w:p>
    <w:p w:rsidR="00811138" w:rsidRDefault="00811138" w:rsidP="00F62C65">
      <w:pPr>
        <w:jc w:val="both"/>
      </w:pPr>
      <w:r>
        <w:t>b)</w:t>
      </w:r>
      <w:r>
        <w:tab/>
        <w:t>Contar con la documentación técnica del proyecto aprobada por el IPV y con visación y/o aprobación para iniciar obra por la Dirección de Obras Privadas del Municipio que corresponda;</w:t>
      </w:r>
    </w:p>
    <w:p w:rsidR="00811138" w:rsidRDefault="00811138" w:rsidP="00F62C65">
      <w:pPr>
        <w:jc w:val="both"/>
      </w:pPr>
      <w:r>
        <w:t>c)</w:t>
      </w:r>
      <w:r>
        <w:tab/>
        <w:t>Documentación Financiera actualizada y aprobada por Gerencia Financiera;</w:t>
      </w:r>
    </w:p>
    <w:p w:rsidR="00811138" w:rsidRDefault="00811138" w:rsidP="00F62C65">
      <w:pPr>
        <w:jc w:val="both"/>
      </w:pPr>
      <w:r>
        <w:t>d)</w:t>
      </w:r>
      <w:r>
        <w:tab/>
        <w:t>La documentación legal del terreno ofrecido como garantía hipotecaria (INCLUIDO el RECIBO y el comprobante de pago de las expensas correspondientes al mes de licitación. En caso de haber presentado con anterioridad la documentación legal solo actualizar este comprobante);</w:t>
      </w:r>
    </w:p>
    <w:p w:rsidR="00811138" w:rsidRDefault="00811138" w:rsidP="00F62C65">
      <w:pPr>
        <w:jc w:val="both"/>
      </w:pPr>
      <w:r>
        <w:t>e)</w:t>
      </w:r>
      <w:r>
        <w:tab/>
        <w:t>Haber cumplido con el resto de sus obligaciones, de conformidad con el Contrato de Ahorro Previo.</w:t>
      </w:r>
    </w:p>
    <w:p w:rsidR="00811138" w:rsidRDefault="00811138" w:rsidP="00F62C65">
      <w:pPr>
        <w:jc w:val="both"/>
      </w:pPr>
      <w:r w:rsidRPr="00F8568B">
        <w:rPr>
          <w:b/>
        </w:rPr>
        <w:t>Artículo 10°: Plazo de presentación de documentación</w:t>
      </w:r>
      <w:r>
        <w:t>.</w:t>
      </w:r>
    </w:p>
    <w:p w:rsidR="00811138" w:rsidRDefault="00811138" w:rsidP="00F62C65">
      <w:pPr>
        <w:jc w:val="both"/>
      </w:pPr>
      <w:r>
        <w:t>Los ahorristas que resulten adjudicados por licitación tendrán un plazo de hasta 120 días corridos a partir de la fecha de licitación para presentar la documentación Notarial requerida por el IPV para la adjudicación y otorgamiento del crédito.</w:t>
      </w:r>
    </w:p>
    <w:p w:rsidR="00811138" w:rsidRDefault="00811138" w:rsidP="00F62C65">
      <w:pPr>
        <w:jc w:val="both"/>
      </w:pPr>
    </w:p>
    <w:p w:rsidR="00811138" w:rsidRPr="00F8568B" w:rsidRDefault="00811138" w:rsidP="00F62C65">
      <w:pPr>
        <w:jc w:val="both"/>
        <w:rPr>
          <w:b/>
        </w:rPr>
      </w:pPr>
      <w:r w:rsidRPr="00F8568B">
        <w:rPr>
          <w:b/>
        </w:rPr>
        <w:t>Artículo 11°: Contrato de financiamiento</w:t>
      </w:r>
    </w:p>
    <w:p w:rsidR="00811138" w:rsidRDefault="00811138" w:rsidP="00F62C65">
      <w:pPr>
        <w:jc w:val="both"/>
      </w:pPr>
      <w:r>
        <w:t>El IPV, a partir del cumplimiento por parte del preadjudicatario de todos los requisitos previstos, deberá evaluar el otorgamiento del préstamo. Si del proceso de evaluación resultaran observaciones, el preadjudicatario deberá salvarlas, presentando la documentación necesaria.</w:t>
      </w:r>
    </w:p>
    <w:p w:rsidR="00811138" w:rsidRDefault="00811138" w:rsidP="00F62C65">
      <w:pPr>
        <w:jc w:val="both"/>
      </w:pPr>
      <w:r>
        <w:t>Salvadas las observaciones, firmarán el contrato de financiamiento (Hipoteca)</w:t>
      </w:r>
    </w:p>
    <w:p w:rsidR="00811138" w:rsidRPr="00F8568B" w:rsidRDefault="00811138" w:rsidP="00F62C65">
      <w:pPr>
        <w:jc w:val="both"/>
        <w:rPr>
          <w:b/>
        </w:rPr>
      </w:pPr>
      <w:r w:rsidRPr="00F8568B">
        <w:rPr>
          <w:b/>
        </w:rPr>
        <w:t>Artículo 12°: Casos de no otorgamiento del préstamo</w:t>
      </w:r>
    </w:p>
    <w:p w:rsidR="00811138" w:rsidRDefault="00811138" w:rsidP="00F62C65">
      <w:pPr>
        <w:jc w:val="both"/>
      </w:pPr>
      <w:r>
        <w:t>En los casos en que en el período de ahorro previo hubiera cambiado la calificación crediticia del preadjudicatario, el terreno presentado no resultara apto para el crédito luego de ser evaluado por el IPV; o cualquier causa que no hiciera posible otorgarle el crédito, se devolverá el monto definitivo del ahorro menos el (veinticinco por ciento) 25 %, de acuerdo a la Resolución N° 840/21.</w:t>
      </w:r>
    </w:p>
    <w:p w:rsidR="00811138" w:rsidRPr="00370C0B" w:rsidRDefault="00811138" w:rsidP="00F62C65">
      <w:pPr>
        <w:jc w:val="both"/>
        <w:rPr>
          <w:b/>
        </w:rPr>
      </w:pPr>
      <w:r w:rsidRPr="00370C0B">
        <w:rPr>
          <w:b/>
        </w:rPr>
        <w:t xml:space="preserve">Artículo 13°: Incumplimiento técnico </w:t>
      </w:r>
    </w:p>
    <w:p w:rsidR="00811138" w:rsidRDefault="00811138" w:rsidP="00F62C65">
      <w:pPr>
        <w:jc w:val="both"/>
      </w:pPr>
      <w:r>
        <w:t>No se podrá modificar el proyecto adjunto al expediente de crédito, aprobado por el Municipio correspondiente y con apto técnico positivo de Gerencia de Proyectos del IPV en ninguna etapa de obra, pudiéndose proceder dar por extinguido de pleno derecho las obligaciones de desembolso asumidas y reclamar el pago de del préstamo, en un todo de acuerdo a los Artículos 85° y 86° de la Resolución marco del Programa de Construyo Mi Casa n° 840/21.</w:t>
      </w:r>
    </w:p>
    <w:sectPr w:rsidR="00811138" w:rsidSect="001F1BCA">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1138" w:rsidRDefault="00811138" w:rsidP="00D41E46">
      <w:pPr>
        <w:spacing w:after="0" w:line="240" w:lineRule="auto"/>
      </w:pPr>
      <w:r>
        <w:separator/>
      </w:r>
    </w:p>
  </w:endnote>
  <w:endnote w:type="continuationSeparator" w:id="0">
    <w:p w:rsidR="00811138" w:rsidRDefault="00811138" w:rsidP="00D41E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1138" w:rsidRDefault="00811138" w:rsidP="00D41E46">
      <w:pPr>
        <w:spacing w:after="0" w:line="240" w:lineRule="auto"/>
      </w:pPr>
      <w:r>
        <w:separator/>
      </w:r>
    </w:p>
  </w:footnote>
  <w:footnote w:type="continuationSeparator" w:id="0">
    <w:p w:rsidR="00811138" w:rsidRDefault="00811138" w:rsidP="00D41E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38" w:rsidRDefault="00811138">
    <w:pPr>
      <w:pStyle w:val="Header"/>
    </w:pPr>
  </w:p>
  <w:p w:rsidR="00811138" w:rsidRDefault="00811138">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 o:spid="_x0000_s2049" type="#_x0000_t75" alt="LOGO IPV 2024_color" style="position:absolute;margin-left:-20.25pt;margin-top:-4.35pt;width:102pt;height:73.5pt;z-index:-251656192;visibility:visible">
          <v:imagedata r:id="rId1" o:title=""/>
        </v:shape>
      </w:pict>
    </w:r>
  </w:p>
  <w:p w:rsidR="00811138" w:rsidRDefault="00811138" w:rsidP="00D41E46">
    <w:pPr>
      <w:pStyle w:val="Heading1"/>
      <w:ind w:left="3119" w:hanging="142"/>
      <w:jc w:val="right"/>
    </w:pPr>
    <w:r>
      <w:t>PROGRAMA</w:t>
    </w:r>
    <w:r>
      <w:rPr>
        <w:spacing w:val="54"/>
      </w:rPr>
      <w:t xml:space="preserve"> </w:t>
    </w:r>
    <w:r>
      <w:rPr>
        <w:spacing w:val="19"/>
      </w:rPr>
      <w:t>CONSTRUYO</w:t>
    </w:r>
    <w:r>
      <w:rPr>
        <w:spacing w:val="51"/>
        <w:w w:val="150"/>
      </w:rPr>
      <w:t xml:space="preserve"> </w:t>
    </w:r>
    <w:r>
      <w:rPr>
        <w:spacing w:val="13"/>
      </w:rPr>
      <w:t>MI</w:t>
    </w:r>
    <w:r>
      <w:rPr>
        <w:spacing w:val="53"/>
        <w:w w:val="150"/>
      </w:rPr>
      <w:t xml:space="preserve"> </w:t>
    </w:r>
    <w:r>
      <w:rPr>
        <w:spacing w:val="12"/>
      </w:rPr>
      <w:t>CASA</w:t>
    </w:r>
  </w:p>
  <w:p w:rsidR="00811138" w:rsidRDefault="00811138" w:rsidP="00D41E46">
    <w:pPr>
      <w:spacing w:before="129"/>
      <w:ind w:left="3119"/>
      <w:jc w:val="right"/>
      <w:rPr>
        <w:sz w:val="16"/>
      </w:rPr>
    </w:pPr>
    <w:r>
      <w:rPr>
        <w:spacing w:val="-2"/>
        <w:w w:val="115"/>
        <w:sz w:val="16"/>
      </w:rPr>
      <w:t>BASES</w:t>
    </w:r>
    <w:r>
      <w:rPr>
        <w:spacing w:val="18"/>
        <w:w w:val="115"/>
        <w:sz w:val="16"/>
      </w:rPr>
      <w:t xml:space="preserve"> </w:t>
    </w:r>
    <w:r>
      <w:rPr>
        <w:spacing w:val="-2"/>
        <w:w w:val="115"/>
        <w:sz w:val="16"/>
      </w:rPr>
      <w:t>Y</w:t>
    </w:r>
    <w:r>
      <w:rPr>
        <w:spacing w:val="23"/>
        <w:w w:val="115"/>
        <w:sz w:val="16"/>
      </w:rPr>
      <w:t xml:space="preserve"> </w:t>
    </w:r>
    <w:r>
      <w:rPr>
        <w:spacing w:val="-2"/>
        <w:w w:val="115"/>
        <w:sz w:val="16"/>
      </w:rPr>
      <w:t>CONDICIONES</w:t>
    </w:r>
    <w:r>
      <w:rPr>
        <w:spacing w:val="-11"/>
        <w:w w:val="115"/>
        <w:sz w:val="16"/>
      </w:rPr>
      <w:t xml:space="preserve"> </w:t>
    </w:r>
    <w:r>
      <w:rPr>
        <w:spacing w:val="-2"/>
        <w:w w:val="115"/>
        <w:sz w:val="16"/>
      </w:rPr>
      <w:t>PARTICULARES</w:t>
    </w:r>
  </w:p>
  <w:p w:rsidR="00811138" w:rsidRPr="00D41E46" w:rsidRDefault="00811138" w:rsidP="00D41E46">
    <w:pPr>
      <w:spacing w:before="129"/>
      <w:ind w:left="3119"/>
      <w:jc w:val="right"/>
      <w:rPr>
        <w:spacing w:val="-2"/>
        <w:w w:val="115"/>
        <w:sz w:val="16"/>
      </w:rPr>
    </w:pPr>
    <w:r w:rsidRPr="00D41E46">
      <w:rPr>
        <w:spacing w:val="-2"/>
        <w:w w:val="115"/>
        <w:sz w:val="16"/>
      </w:rPr>
      <w:t xml:space="preserve">LICITACION DE </w:t>
    </w:r>
    <w:r>
      <w:rPr>
        <w:spacing w:val="-2"/>
        <w:w w:val="115"/>
        <w:sz w:val="16"/>
      </w:rPr>
      <w:t>OCTUBRE</w:t>
    </w:r>
    <w:r w:rsidRPr="00D41E46">
      <w:rPr>
        <w:spacing w:val="-2"/>
        <w:w w:val="115"/>
        <w:sz w:val="16"/>
      </w:rPr>
      <w:t xml:space="preserve"> 202</w:t>
    </w:r>
    <w:r>
      <w:rPr>
        <w:spacing w:val="-2"/>
        <w:w w:val="115"/>
        <w:sz w:val="16"/>
      </w:rPr>
      <w:t>6</w:t>
    </w:r>
  </w:p>
  <w:p w:rsidR="00811138" w:rsidRDefault="0081113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1E46"/>
    <w:rsid w:val="0002082E"/>
    <w:rsid w:val="0005509E"/>
    <w:rsid w:val="000A2107"/>
    <w:rsid w:val="000F4305"/>
    <w:rsid w:val="00125FDC"/>
    <w:rsid w:val="00141B5B"/>
    <w:rsid w:val="00170A47"/>
    <w:rsid w:val="001726B3"/>
    <w:rsid w:val="001C5846"/>
    <w:rsid w:val="001F1BCA"/>
    <w:rsid w:val="001F1DFB"/>
    <w:rsid w:val="002355A0"/>
    <w:rsid w:val="002A5FB3"/>
    <w:rsid w:val="00307DF3"/>
    <w:rsid w:val="0032188B"/>
    <w:rsid w:val="00351F5B"/>
    <w:rsid w:val="00370C0B"/>
    <w:rsid w:val="00384D6B"/>
    <w:rsid w:val="0039553C"/>
    <w:rsid w:val="003C6C70"/>
    <w:rsid w:val="00401E52"/>
    <w:rsid w:val="00453C4B"/>
    <w:rsid w:val="004E6A36"/>
    <w:rsid w:val="00513EA8"/>
    <w:rsid w:val="00576834"/>
    <w:rsid w:val="005838FB"/>
    <w:rsid w:val="005C7234"/>
    <w:rsid w:val="005E09B4"/>
    <w:rsid w:val="005F03D6"/>
    <w:rsid w:val="006232DF"/>
    <w:rsid w:val="0064150E"/>
    <w:rsid w:val="00673990"/>
    <w:rsid w:val="00707C7D"/>
    <w:rsid w:val="00750E2D"/>
    <w:rsid w:val="007A75B9"/>
    <w:rsid w:val="007C58AF"/>
    <w:rsid w:val="00811138"/>
    <w:rsid w:val="00857FC4"/>
    <w:rsid w:val="0086283B"/>
    <w:rsid w:val="00874302"/>
    <w:rsid w:val="008E0B27"/>
    <w:rsid w:val="00913021"/>
    <w:rsid w:val="00927350"/>
    <w:rsid w:val="009646F6"/>
    <w:rsid w:val="00972A6C"/>
    <w:rsid w:val="009D74C1"/>
    <w:rsid w:val="00A06A06"/>
    <w:rsid w:val="00A31B6B"/>
    <w:rsid w:val="00A42C84"/>
    <w:rsid w:val="00A747E5"/>
    <w:rsid w:val="00AB6648"/>
    <w:rsid w:val="00AC3014"/>
    <w:rsid w:val="00AD5AE6"/>
    <w:rsid w:val="00B1607B"/>
    <w:rsid w:val="00B3458C"/>
    <w:rsid w:val="00B74E90"/>
    <w:rsid w:val="00BA2BE8"/>
    <w:rsid w:val="00C13CF1"/>
    <w:rsid w:val="00C536F8"/>
    <w:rsid w:val="00C72A16"/>
    <w:rsid w:val="00C81D19"/>
    <w:rsid w:val="00D41E46"/>
    <w:rsid w:val="00D47501"/>
    <w:rsid w:val="00D83253"/>
    <w:rsid w:val="00DB7A63"/>
    <w:rsid w:val="00E168BD"/>
    <w:rsid w:val="00E25D2F"/>
    <w:rsid w:val="00E9048B"/>
    <w:rsid w:val="00EE063B"/>
    <w:rsid w:val="00F30BB9"/>
    <w:rsid w:val="00F57C2B"/>
    <w:rsid w:val="00F62C65"/>
    <w:rsid w:val="00F8568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BCA"/>
    <w:pPr>
      <w:spacing w:after="160" w:line="259" w:lineRule="auto"/>
    </w:pPr>
    <w:rPr>
      <w:lang w:val="es-AR"/>
    </w:rPr>
  </w:style>
  <w:style w:type="paragraph" w:styleId="Heading1">
    <w:name w:val="heading 1"/>
    <w:basedOn w:val="Normal"/>
    <w:link w:val="Heading1Char"/>
    <w:uiPriority w:val="99"/>
    <w:qFormat/>
    <w:rsid w:val="00D41E46"/>
    <w:pPr>
      <w:widowControl w:val="0"/>
      <w:autoSpaceDE w:val="0"/>
      <w:autoSpaceDN w:val="0"/>
      <w:spacing w:after="0" w:line="240" w:lineRule="auto"/>
      <w:ind w:left="7"/>
      <w:outlineLvl w:val="0"/>
    </w:pPr>
    <w:rPr>
      <w:rFonts w:ascii="Arial" w:hAnsi="Arial" w:cs="Arial"/>
      <w:b/>
      <w:bCs/>
      <w:sz w:val="28"/>
      <w:szCs w:val="28"/>
      <w:lang w:val="es-ES"/>
    </w:rPr>
  </w:style>
  <w:style w:type="paragraph" w:styleId="Heading2">
    <w:name w:val="heading 2"/>
    <w:basedOn w:val="Normal"/>
    <w:next w:val="Normal"/>
    <w:link w:val="Heading2Char"/>
    <w:uiPriority w:val="99"/>
    <w:qFormat/>
    <w:rsid w:val="00D41E46"/>
    <w:pPr>
      <w:keepNext/>
      <w:keepLines/>
      <w:spacing w:before="40" w:after="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9"/>
    <w:qFormat/>
    <w:rsid w:val="00D41E46"/>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41E46"/>
    <w:rPr>
      <w:rFonts w:ascii="Arial" w:hAnsi="Arial" w:cs="Arial"/>
      <w:b/>
      <w:bCs/>
      <w:sz w:val="28"/>
      <w:szCs w:val="28"/>
      <w:lang w:val="es-ES"/>
    </w:rPr>
  </w:style>
  <w:style w:type="character" w:customStyle="1" w:styleId="Heading2Char">
    <w:name w:val="Heading 2 Char"/>
    <w:basedOn w:val="DefaultParagraphFont"/>
    <w:link w:val="Heading2"/>
    <w:uiPriority w:val="99"/>
    <w:semiHidden/>
    <w:locked/>
    <w:rsid w:val="00D41E46"/>
    <w:rPr>
      <w:rFonts w:ascii="Calibri Light" w:hAnsi="Calibri Light" w:cs="Times New Roman"/>
      <w:color w:val="2E74B5"/>
      <w:sz w:val="26"/>
      <w:szCs w:val="26"/>
    </w:rPr>
  </w:style>
  <w:style w:type="character" w:customStyle="1" w:styleId="Heading3Char">
    <w:name w:val="Heading 3 Char"/>
    <w:basedOn w:val="DefaultParagraphFont"/>
    <w:link w:val="Heading3"/>
    <w:uiPriority w:val="99"/>
    <w:semiHidden/>
    <w:locked/>
    <w:rsid w:val="00D41E46"/>
    <w:rPr>
      <w:rFonts w:ascii="Calibri Light" w:hAnsi="Calibri Light" w:cs="Times New Roman"/>
      <w:color w:val="1F4D78"/>
      <w:sz w:val="24"/>
      <w:szCs w:val="24"/>
    </w:rPr>
  </w:style>
  <w:style w:type="paragraph" w:styleId="Header">
    <w:name w:val="header"/>
    <w:basedOn w:val="Normal"/>
    <w:link w:val="HeaderChar"/>
    <w:uiPriority w:val="99"/>
    <w:rsid w:val="00D41E46"/>
    <w:pPr>
      <w:tabs>
        <w:tab w:val="center" w:pos="4252"/>
        <w:tab w:val="right" w:pos="8504"/>
      </w:tabs>
      <w:spacing w:after="0" w:line="240" w:lineRule="auto"/>
    </w:pPr>
  </w:style>
  <w:style w:type="character" w:customStyle="1" w:styleId="HeaderChar">
    <w:name w:val="Header Char"/>
    <w:basedOn w:val="DefaultParagraphFont"/>
    <w:link w:val="Header"/>
    <w:uiPriority w:val="99"/>
    <w:locked/>
    <w:rsid w:val="00D41E46"/>
    <w:rPr>
      <w:rFonts w:cs="Times New Roman"/>
    </w:rPr>
  </w:style>
  <w:style w:type="paragraph" w:styleId="Footer">
    <w:name w:val="footer"/>
    <w:basedOn w:val="Normal"/>
    <w:link w:val="FooterChar"/>
    <w:uiPriority w:val="99"/>
    <w:rsid w:val="00D41E46"/>
    <w:pPr>
      <w:tabs>
        <w:tab w:val="center" w:pos="4252"/>
        <w:tab w:val="right" w:pos="8504"/>
      </w:tabs>
      <w:spacing w:after="0" w:line="240" w:lineRule="auto"/>
    </w:pPr>
  </w:style>
  <w:style w:type="character" w:customStyle="1" w:styleId="FooterChar">
    <w:name w:val="Footer Char"/>
    <w:basedOn w:val="DefaultParagraphFont"/>
    <w:link w:val="Footer"/>
    <w:uiPriority w:val="99"/>
    <w:locked/>
    <w:rsid w:val="00D41E46"/>
    <w:rPr>
      <w:rFonts w:cs="Times New Roman"/>
    </w:rPr>
  </w:style>
  <w:style w:type="paragraph" w:styleId="BalloonText">
    <w:name w:val="Balloon Text"/>
    <w:basedOn w:val="Normal"/>
    <w:link w:val="BalloonTextChar"/>
    <w:uiPriority w:val="99"/>
    <w:semiHidden/>
    <w:rsid w:val="00A06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06A06"/>
    <w:rPr>
      <w:rFonts w:ascii="Segoe UI" w:hAnsi="Segoe UI" w:cs="Segoe UI"/>
      <w:sz w:val="18"/>
      <w:szCs w:val="18"/>
      <w:lang w:val="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5</Pages>
  <Words>1387</Words>
  <Characters>7629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INDICE</dc:title>
  <dc:subject/>
  <dc:creator>Denis Munoz</dc:creator>
  <cp:keywords/>
  <dc:description/>
  <cp:lastModifiedBy>ccuadra</cp:lastModifiedBy>
  <cp:revision>3</cp:revision>
  <cp:lastPrinted>2025-08-13T15:33:00Z</cp:lastPrinted>
  <dcterms:created xsi:type="dcterms:W3CDTF">2026-10-16T11:52:00Z</dcterms:created>
  <dcterms:modified xsi:type="dcterms:W3CDTF">2026-10-16T11:55:00Z</dcterms:modified>
</cp:coreProperties>
</file>